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Оказание услуг платных автостоянок регулируются положениями Гражданского </w:t>
      </w:r>
      <w:proofErr w:type="gramStart"/>
      <w:r w:rsidRPr="00FB5A05">
        <w:rPr>
          <w:rFonts w:ascii="Comic Sans MS" w:hAnsi="Comic Sans MS" w:cs="Times New Roman"/>
        </w:rPr>
        <w:t>кодекса  РФ</w:t>
      </w:r>
      <w:proofErr w:type="gramEnd"/>
      <w:r w:rsidRPr="00FB5A05">
        <w:rPr>
          <w:rFonts w:ascii="Comic Sans MS" w:hAnsi="Comic Sans MS" w:cs="Times New Roman"/>
        </w:rPr>
        <w:t xml:space="preserve"> о договоре хранения, законом РФ "О защите прав потребителей", а также "Правилами оказания услуг автостоянок" утверждёнными Постановлением Правительства РФ от 17.11.2001 №795.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Что необходимо знать потребителю, чтобы временное хранение автомашины было безопасным, и что делать в случае, когда исполнителем причинен вред вашему имуществу в результате ненадлежащего хранения?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b/>
          <w:color w:val="C00000"/>
        </w:rPr>
      </w:pPr>
      <w:r w:rsidRPr="00FB5A05">
        <w:rPr>
          <w:rFonts w:ascii="Comic Sans MS" w:hAnsi="Comic Sans MS" w:cs="Times New Roman"/>
        </w:rPr>
        <w:t xml:space="preserve"> </w:t>
      </w:r>
      <w:r w:rsidRPr="00FB5A05">
        <w:rPr>
          <w:rFonts w:ascii="Comic Sans MS" w:hAnsi="Comic Sans MS" w:cs="Times New Roman"/>
          <w:b/>
          <w:color w:val="C00000"/>
        </w:rPr>
        <w:t xml:space="preserve">I.  При кратковременной разовой постановке: 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При пользовании стоянкой на срок не более одних суток заключение договора может быть осуществлено путем выдачи потребителю соответствующего документа (сохранной расписки, квитанции и т.п.) с указанием государственного регистрационного знака </w:t>
      </w:r>
      <w:proofErr w:type="spellStart"/>
      <w:proofErr w:type="gramStart"/>
      <w:r w:rsidRPr="00FB5A05">
        <w:rPr>
          <w:rFonts w:ascii="Comic Sans MS" w:hAnsi="Comic Sans MS" w:cs="Times New Roman"/>
        </w:rPr>
        <w:t>автомото</w:t>
      </w:r>
      <w:proofErr w:type="spellEnd"/>
      <w:r>
        <w:rPr>
          <w:rFonts w:ascii="Comic Sans MS" w:hAnsi="Comic Sans MS" w:cs="Times New Roman"/>
        </w:rPr>
        <w:t>-</w:t>
      </w:r>
      <w:r w:rsidRPr="00FB5A05">
        <w:rPr>
          <w:rFonts w:ascii="Comic Sans MS" w:hAnsi="Comic Sans MS" w:cs="Times New Roman"/>
        </w:rPr>
        <w:t>транспортного</w:t>
      </w:r>
      <w:proofErr w:type="gramEnd"/>
      <w:r w:rsidRPr="00FB5A05">
        <w:rPr>
          <w:rFonts w:ascii="Comic Sans MS" w:hAnsi="Comic Sans MS" w:cs="Times New Roman"/>
        </w:rPr>
        <w:t xml:space="preserve"> средства.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Договор (сохранная расписка, квитанция) составляется в 2 экземплярах, один из которых передается потребителю, а другой остается у исполнителя.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b/>
          <w:color w:val="C00000"/>
        </w:rPr>
      </w:pPr>
      <w:r w:rsidRPr="00FB5A05">
        <w:rPr>
          <w:rFonts w:ascii="Comic Sans MS" w:hAnsi="Comic Sans MS" w:cs="Times New Roman"/>
          <w:b/>
          <w:color w:val="C00000"/>
        </w:rPr>
        <w:t>II.   При длительном пользовании автостоянкой: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При выборе автостоянки, </w:t>
      </w:r>
      <w:proofErr w:type="gramStart"/>
      <w:r w:rsidRPr="00FB5A05">
        <w:rPr>
          <w:rFonts w:ascii="Comic Sans MS" w:hAnsi="Comic Sans MS" w:cs="Times New Roman"/>
        </w:rPr>
        <w:t>необходимо  обратить</w:t>
      </w:r>
      <w:proofErr w:type="gramEnd"/>
      <w:r w:rsidRPr="00FB5A05">
        <w:rPr>
          <w:rFonts w:ascii="Comic Sans MS" w:hAnsi="Comic Sans MS" w:cs="Times New Roman"/>
        </w:rPr>
        <w:t xml:space="preserve"> внимание на наличие следующей обязательной информации: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организация - свое фирменное наименование (наименование) и местонахождение (юридический адрес);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индивидуальный предприниматель - сведения о государственной регистрации с указанием наименования зарегистрировавшего органа, ИНН;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перечень оказываемых основных и дополнительных услуг;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 xml:space="preserve">правила пользования автостоянкой, правила техники безопасности, противопожарные и санитарные правила.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сведения об обязательном подтверждении соответствия оказываемых услуг (номер сертификата соответствия, срок его действия, орган, выдавший сертификат);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цены на основные и дополнительные услуги;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образцы договоров, актов, сохранных расписок и других документов, удостоверяющих прием и выдачу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адрес и номер телефона исполнителя;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•</w:t>
      </w:r>
      <w:r w:rsidRPr="00FB5A05">
        <w:rPr>
          <w:rFonts w:ascii="Comic Sans MS" w:hAnsi="Comic Sans MS" w:cs="Times New Roman"/>
        </w:rPr>
        <w:tab/>
        <w:t>режим работы автостоянки;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Указанные сведения, а также информация о режиме работы автостоянки размещаются на вывеске в месте нахождения автостоянки.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Необходимо обратить внимание на то, как оборудована автостоянка (наличие ограды, камер наблюдения, освещенность территории, достаточное количество </w:t>
      </w:r>
      <w:proofErr w:type="gramStart"/>
      <w:r w:rsidRPr="00FB5A05">
        <w:rPr>
          <w:rFonts w:ascii="Comic Sans MS" w:hAnsi="Comic Sans MS" w:cs="Times New Roman"/>
        </w:rPr>
        <w:t>охранников,  как</w:t>
      </w:r>
      <w:proofErr w:type="gramEnd"/>
      <w:r w:rsidRPr="00FB5A05">
        <w:rPr>
          <w:rFonts w:ascii="Comic Sans MS" w:hAnsi="Comic Sans MS" w:cs="Times New Roman"/>
        </w:rPr>
        <w:t xml:space="preserve">  осуществляется въезд на территорию и т.д.).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Важно! Передавать автомобиль для временного хранения необходимо только после заключения договора с исполнителем. Исполнитель обязан заключить с потребителем договор.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Договор заключается в письменной форме и должен содержать следующие сведения: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наименование и местонахождение (юридический адрес) организации-исполнителя либо ФИО индивидуального предпринимателя, сведения о его государственной регистрации;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ФИО, номер телефона и адрес потребителя;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дата заключения договора, срок хранения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цена услуги по хранению автомототранспортного средства, цены дополнительных услуг, оказываемых за плату, а также форма и порядок их оплаты;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марка, модель и государственный регистрационный знак автомототранспортного средства, принимаемого на хранение;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цена автомототранспортного средства, определяемая по соглашению сторон;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условия хранения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-  порядок приема и выдачи автомототранспортного средства;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При многократных въездах на автостоянку и выездов с нее, при заключении договора оформляется постоянный пропуск, в котором указываются марка, модель и государственный регистрационный знак автомототранспортного средства, номер места на автостоянке, срок действия пропуска.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b/>
          <w:color w:val="C00000"/>
        </w:rPr>
      </w:pPr>
      <w:r w:rsidRPr="00FB5A05">
        <w:rPr>
          <w:rFonts w:ascii="Comic Sans MS" w:hAnsi="Comic Sans MS" w:cs="Times New Roman"/>
        </w:rPr>
        <w:t xml:space="preserve"> </w:t>
      </w:r>
      <w:r w:rsidRPr="00FB5A05">
        <w:rPr>
          <w:rFonts w:ascii="Comic Sans MS" w:hAnsi="Comic Sans MS" w:cs="Times New Roman"/>
          <w:b/>
          <w:color w:val="C00000"/>
        </w:rPr>
        <w:t xml:space="preserve">Ответственность исполнителя.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 А как поступать в том случае, когда, забирая машину с платной стоянки, вы </w:t>
      </w:r>
      <w:r w:rsidRPr="00FB5A05">
        <w:rPr>
          <w:rFonts w:ascii="Comic Sans MS" w:hAnsi="Comic Sans MS" w:cs="Times New Roman"/>
        </w:rPr>
        <w:lastRenderedPageBreak/>
        <w:t>обнаруживаете царапины или повреждения, которых не было?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>В случае утраты (хищения), повреждения или нарушения комплектности автомототранспортного средства, произошедших в процессе хранения его на автостоянке, исполнитель обязан по требованию потребителя составить соответствующий акт, который подписывается потребителем и уполномоченным работником исполнителя. Акт составляется в 2 экземплярах, один из которых передается потребителю, а другой остается у исполнителя.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При причинении прямого вреда жизни, здоровью и имуществу потребителя, а также в случае вреда, причиненного вследствие </w:t>
      </w:r>
      <w:proofErr w:type="spellStart"/>
      <w:r w:rsidRPr="00FB5A05">
        <w:rPr>
          <w:rFonts w:ascii="Comic Sans MS" w:hAnsi="Comic Sans MS" w:cs="Times New Roman"/>
        </w:rPr>
        <w:t>непредоставления</w:t>
      </w:r>
      <w:proofErr w:type="spellEnd"/>
      <w:r w:rsidRPr="00FB5A05">
        <w:rPr>
          <w:rFonts w:ascii="Comic Sans MS" w:hAnsi="Comic Sans MS" w:cs="Times New Roman"/>
        </w:rPr>
        <w:t xml:space="preserve"> ему полной и достоверной информации об услуге, потребитель вправе потребовать возмещения такого вреда в порядке, предусмотренном статьей 14 Закона Российской Федерации "О защите прав потребителей", статьями 891, 901 Гражданского кодекса.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</w:rPr>
      </w:pPr>
      <w:r w:rsidRPr="00FB5A05">
        <w:rPr>
          <w:rFonts w:ascii="Comic Sans MS" w:hAnsi="Comic Sans MS" w:cs="Times New Roman"/>
        </w:rPr>
        <w:t xml:space="preserve">Для этого потребителю необходимо обратиться к исполнителю с письменным требованием о возмещении вреда. Доказательством вины исполнителя будет служить составленный вышеуказанный акт. </w:t>
      </w:r>
    </w:p>
    <w:p w:rsidR="00FB5A05" w:rsidRPr="00FB5A05" w:rsidRDefault="00FB5A05" w:rsidP="00FB5A05">
      <w:pPr>
        <w:spacing w:after="0" w:line="240" w:lineRule="auto"/>
        <w:jc w:val="both"/>
        <w:rPr>
          <w:rFonts w:ascii="Comic Sans MS" w:hAnsi="Comic Sans MS" w:cs="Times New Roman"/>
          <w:sz w:val="24"/>
          <w:szCs w:val="28"/>
        </w:rPr>
      </w:pPr>
      <w:r w:rsidRPr="00FB5A05">
        <w:rPr>
          <w:rFonts w:ascii="Comic Sans MS" w:hAnsi="Comic Sans MS" w:cs="Times New Roman"/>
        </w:rPr>
        <w:t xml:space="preserve">При отказе в удовлетворении требований потребитель </w:t>
      </w:r>
      <w:proofErr w:type="gramStart"/>
      <w:r w:rsidRPr="00FB5A05">
        <w:rPr>
          <w:rFonts w:ascii="Comic Sans MS" w:hAnsi="Comic Sans MS" w:cs="Times New Roman"/>
        </w:rPr>
        <w:t>вправе  обратиться</w:t>
      </w:r>
      <w:proofErr w:type="gramEnd"/>
      <w:r w:rsidRPr="00FB5A05">
        <w:rPr>
          <w:rFonts w:ascii="Comic Sans MS" w:hAnsi="Comic Sans MS" w:cs="Times New Roman"/>
        </w:rPr>
        <w:t xml:space="preserve"> в суд</w:t>
      </w:r>
      <w:r w:rsidRPr="00FB5A05">
        <w:rPr>
          <w:rFonts w:ascii="Comic Sans MS" w:hAnsi="Comic Sans MS" w:cs="Times New Roman"/>
          <w:sz w:val="24"/>
          <w:szCs w:val="28"/>
        </w:rPr>
        <w:t xml:space="preserve">. 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Информация подготовлена специалистами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консультационного центра по защите прав потребителей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ФБУЗ «Центр гигиены и эпидемиологии в Иркутской 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области» с использованием </w:t>
      </w:r>
      <w:proofErr w:type="spellStart"/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материалов</w:t>
      </w:r>
      <w:r w:rsidRPr="008970CA">
        <w:rPr>
          <w:rFonts w:ascii="Times New Roman" w:hAnsi="Times New Roman" w:cs="Times New Roman"/>
          <w:i/>
          <w:sz w:val="20"/>
          <w:szCs w:val="20"/>
        </w:rPr>
        <w:t>сайтов</w:t>
      </w:r>
      <w:proofErr w:type="spellEnd"/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hAnsi="Times New Roman" w:cs="Times New Roman"/>
          <w:i/>
          <w:sz w:val="20"/>
          <w:szCs w:val="20"/>
        </w:rPr>
        <w:t xml:space="preserve">СПС </w:t>
      </w:r>
      <w:proofErr w:type="spellStart"/>
      <w:r w:rsidRPr="008970CA">
        <w:rPr>
          <w:rFonts w:ascii="Times New Roman" w:hAnsi="Times New Roman" w:cs="Times New Roman"/>
          <w:i/>
          <w:sz w:val="20"/>
          <w:szCs w:val="20"/>
        </w:rPr>
        <w:t>Консультантплюс</w:t>
      </w:r>
      <w:proofErr w:type="spellEnd"/>
      <w:r w:rsidRPr="008970CA">
        <w:rPr>
          <w:rFonts w:ascii="Times New Roman" w:hAnsi="Times New Roman" w:cs="Times New Roman"/>
          <w:i/>
          <w:sz w:val="20"/>
          <w:szCs w:val="20"/>
        </w:rPr>
        <w:t>, портал gosuslugi.ru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EE8" w:rsidRDefault="00205EE8" w:rsidP="0020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Наши контакты:</w:t>
      </w: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E72015" w:rsidTr="008970CA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 xml:space="preserve">51,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</w:rPr>
              <w:t>тел. 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22-23-88 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Пушкина,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 xml:space="preserve">8,   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63-66-22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E72015" w:rsidTr="008970CA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73   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E72015" w:rsidTr="008970CA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г.Черемхово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ул.Плеханова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1,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8970CA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proofErr w:type="gramEnd"/>
            <w:r w:rsidRPr="00E72015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5" w:history="1"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8970CA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г.Тулун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ул.Виноградова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, 21,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E72015" w:rsidTr="008970CA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г.Нижнеудинск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ул.Энгельса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>8 ,</w:t>
            </w:r>
            <w:proofErr w:type="gramEnd"/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E72015" w:rsidTr="008970CA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E72015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proofErr w:type="gramEnd"/>
            <w:r w:rsidRPr="00E72015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8970CA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г.Братск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386E" w:rsidRPr="00E72015" w:rsidTr="008970CA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г.Железногорск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-Илимский</w:t>
            </w:r>
            <w:r w:rsidRPr="00E72015">
              <w:rPr>
                <w:rFonts w:ascii="Times New Roman" w:eastAsia="Times New Roman" w:hAnsi="Times New Roman" w:cs="Times New Roman"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>-Кут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8970CA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г.Усть-Илимск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E72015" w:rsidTr="008970CA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-Кут,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ул.Кирова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91,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E72015">
              <w:rPr>
                <w:rFonts w:ascii="Times New Roman" w:eastAsia="Times New Roman" w:hAnsi="Times New Roman" w:cs="Times New Roman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E72015" w:rsidTr="008970CA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-Ордынский,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31386E" w:rsidRPr="008970CA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Comic Sans MS" w:hAnsi="Comic Sans MS" w:cs="Times New Roman"/>
          <w:b/>
          <w:bCs/>
          <w:color w:val="002060"/>
          <w:sz w:val="28"/>
          <w:szCs w:val="28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:rsidR="0031386E" w:rsidRPr="008970CA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в Иркутской области</w:t>
      </w:r>
    </w:p>
    <w:p w:rsidR="0031386E" w:rsidRPr="008970CA" w:rsidRDefault="00205EE8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358140</wp:posOffset>
            </wp:positionV>
            <wp:extent cx="3230880" cy="2457450"/>
            <wp:effectExtent l="0" t="0" r="7620" b="0"/>
            <wp:wrapTight wrapText="bothSides">
              <wp:wrapPolygon edited="0">
                <wp:start x="0" y="0"/>
                <wp:lineTo x="0" y="21433"/>
                <wp:lineTo x="21524" y="21433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CA" w:rsidRPr="00205EE8" w:rsidRDefault="00205EE8" w:rsidP="008970CA">
      <w:pPr>
        <w:spacing w:after="0" w:line="276" w:lineRule="auto"/>
        <w:ind w:right="-225"/>
        <w:jc w:val="center"/>
        <w:rPr>
          <w:rFonts w:ascii="Comic Sans MS" w:hAnsi="Comic Sans MS" w:cs="Times New Roman"/>
          <w:b/>
          <w:color w:val="C00000"/>
          <w:sz w:val="32"/>
          <w:szCs w:val="24"/>
        </w:rPr>
      </w:pPr>
      <w:r w:rsidRPr="00205EE8">
        <w:rPr>
          <w:rFonts w:ascii="Comic Sans MS" w:hAnsi="Comic Sans MS" w:cs="Times New Roman"/>
          <w:b/>
          <w:color w:val="C00000"/>
          <w:sz w:val="32"/>
          <w:szCs w:val="24"/>
        </w:rPr>
        <w:t>УСЛУГИ ПЛАТНЫХ АВТОСТОЯНОК.</w:t>
      </w:r>
    </w:p>
    <w:p w:rsidR="00A618DA" w:rsidRPr="008970CA" w:rsidRDefault="00A618D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24"/>
          <w:szCs w:val="24"/>
        </w:rPr>
      </w:pPr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205EE8" w:rsidRDefault="00205EE8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bookmarkStart w:id="0" w:name="_GoBack"/>
      <w:bookmarkEnd w:id="0"/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8970CA" w:rsidRPr="00996035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6"/>
          <w:szCs w:val="28"/>
          <w:lang w:eastAsia="en-US"/>
        </w:rPr>
      </w:pPr>
    </w:p>
    <w:p w:rsidR="004B6684" w:rsidRPr="008970CA" w:rsidRDefault="004B6684" w:rsidP="008970CA">
      <w:pPr>
        <w:pStyle w:val="a3"/>
        <w:shd w:val="clear" w:color="auto" w:fill="FFFFFF"/>
        <w:spacing w:before="0" w:beforeAutospacing="0" w:after="0" w:afterAutospacing="0"/>
        <w:ind w:left="-284"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 xml:space="preserve">Консультационный центр и </w:t>
      </w:r>
      <w:r w:rsidR="008970CA"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</w:t>
      </w: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ункты</w:t>
      </w:r>
    </w:p>
    <w:p w:rsidR="004B6684" w:rsidRPr="008970CA" w:rsidRDefault="004B6684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по защите прав потребителей</w:t>
      </w:r>
    </w:p>
    <w:p w:rsidR="008970CA" w:rsidRPr="008970CA" w:rsidRDefault="008970C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14"/>
          <w:szCs w:val="24"/>
        </w:rPr>
      </w:pPr>
    </w:p>
    <w:p w:rsidR="0031386E" w:rsidRPr="008970CA" w:rsidRDefault="0031386E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Cs w:val="24"/>
        </w:rPr>
      </w:pPr>
      <w:r w:rsidRPr="008970CA">
        <w:rPr>
          <w:rFonts w:ascii="Comic Sans MS" w:hAnsi="Comic Sans MS" w:cs="Times New Roman"/>
          <w:b/>
          <w:color w:val="002060"/>
          <w:szCs w:val="24"/>
        </w:rPr>
        <w:t>Единый консультационный центр Роспотребнадзора –</w:t>
      </w:r>
    </w:p>
    <w:p w:rsidR="0031386E" w:rsidRPr="008970CA" w:rsidRDefault="0031386E" w:rsidP="0031386E">
      <w:pPr>
        <w:jc w:val="center"/>
        <w:rPr>
          <w:rFonts w:ascii="Comic Sans MS" w:hAnsi="Comic Sans MS"/>
          <w:szCs w:val="24"/>
        </w:rPr>
      </w:pPr>
      <w:r w:rsidRPr="008970CA">
        <w:rPr>
          <w:rFonts w:ascii="Comic Sans MS" w:hAnsi="Comic Sans MS" w:cs="Times New Roman"/>
          <w:b/>
          <w:color w:val="FF0000"/>
          <w:szCs w:val="24"/>
        </w:rPr>
        <w:t>8-800-555-49-43</w:t>
      </w:r>
    </w:p>
    <w:sectPr w:rsidR="0031386E" w:rsidRPr="008970CA" w:rsidSect="00FB5A05">
      <w:pgSz w:w="16838" w:h="11906" w:orient="landscape"/>
      <w:pgMar w:top="284" w:right="678" w:bottom="426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E5"/>
    <w:rsid w:val="000059B4"/>
    <w:rsid w:val="00080E79"/>
    <w:rsid w:val="000B3D7F"/>
    <w:rsid w:val="000F25E0"/>
    <w:rsid w:val="00187C25"/>
    <w:rsid w:val="00205EE8"/>
    <w:rsid w:val="002B5EE5"/>
    <w:rsid w:val="0031386E"/>
    <w:rsid w:val="003625AD"/>
    <w:rsid w:val="003E2E83"/>
    <w:rsid w:val="004B6684"/>
    <w:rsid w:val="008970CA"/>
    <w:rsid w:val="008F5BB1"/>
    <w:rsid w:val="0094310C"/>
    <w:rsid w:val="00996035"/>
    <w:rsid w:val="009C6D70"/>
    <w:rsid w:val="00A1429B"/>
    <w:rsid w:val="00A618DA"/>
    <w:rsid w:val="00AE7049"/>
    <w:rsid w:val="00E72015"/>
    <w:rsid w:val="00ED2B62"/>
    <w:rsid w:val="00F77F1A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D707"/>
  <w15:docId w15:val="{0FDF47EB-3A0A-4745-96BE-DAC4285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ayn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5283-8745-41B4-B6CF-40E61BAA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2023-06-30T02:21:00Z</dcterms:created>
  <dcterms:modified xsi:type="dcterms:W3CDTF">2023-07-31T03:26:00Z</dcterms:modified>
</cp:coreProperties>
</file>