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9" w:rsidRDefault="006B7B49"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ПРОЕКТ</w:t>
      </w:r>
    </w:p>
    <w:p w:rsidR="0079545E" w:rsidRPr="00CC2BD3" w:rsidRDefault="00871D2C"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_______.2024</w:t>
      </w:r>
      <w:r w:rsidR="0079545E" w:rsidRPr="00CC2BD3">
        <w:rPr>
          <w:rFonts w:ascii="Arial" w:hAnsi="Arial" w:cs="Arial"/>
          <w:b/>
          <w:color w:val="000000"/>
          <w:spacing w:val="-1"/>
          <w:sz w:val="32"/>
          <w:szCs w:val="32"/>
        </w:rPr>
        <w:t xml:space="preserve"> Г. № </w:t>
      </w:r>
      <w:r w:rsidR="006B7B49">
        <w:rPr>
          <w:rFonts w:ascii="Arial" w:hAnsi="Arial" w:cs="Arial"/>
          <w:b/>
          <w:color w:val="000000"/>
          <w:spacing w:val="-1"/>
          <w:sz w:val="32"/>
          <w:szCs w:val="32"/>
        </w:rPr>
        <w:t>____/РД</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6" w:history="1">
        <w:r w:rsidRPr="0079545E">
          <w:rPr>
            <w:rFonts w:ascii="Arial" w:hAnsi="Arial" w:cs="Arial"/>
            <w:b w:val="0"/>
            <w:sz w:val="24"/>
            <w:szCs w:val="24"/>
          </w:rPr>
          <w:t xml:space="preserve">статьями </w:t>
        </w:r>
        <w:r w:rsidR="0079545E">
          <w:rPr>
            <w:rFonts w:ascii="Arial" w:hAnsi="Arial" w:cs="Arial"/>
            <w:b w:val="0"/>
            <w:sz w:val="24"/>
            <w:szCs w:val="24"/>
          </w:rPr>
          <w:t>265,266.1,267.1</w:t>
        </w:r>
        <w:r w:rsidRPr="0079545E">
          <w:rPr>
            <w:rFonts w:ascii="Arial" w:hAnsi="Arial" w:cs="Arial"/>
            <w:b w:val="0"/>
            <w:sz w:val="24"/>
            <w:szCs w:val="24"/>
          </w:rPr>
          <w:t>,</w:t>
        </w:r>
      </w:hyperlink>
      <w:r w:rsidR="0079545E">
        <w:rPr>
          <w:rFonts w:ascii="Arial" w:hAnsi="Arial" w:cs="Arial"/>
          <w:b w:val="0"/>
          <w:sz w:val="24"/>
          <w:szCs w:val="24"/>
        </w:rPr>
        <w:t>270.2</w:t>
      </w:r>
      <w:r w:rsidRPr="0079545E">
        <w:rPr>
          <w:rFonts w:ascii="Arial" w:hAnsi="Arial" w:cs="Arial"/>
          <w:b w:val="0"/>
          <w:sz w:val="24"/>
          <w:szCs w:val="24"/>
        </w:rPr>
        <w:t xml:space="preserve"> Бюджетного кодекса Российской Федерации, руководствуясь </w:t>
      </w:r>
      <w:hyperlink r:id="rId7"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8"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6B7B49">
        <w:rPr>
          <w:rFonts w:ascii="Courier New" w:hAnsi="Courier New" w:cs="Courier New"/>
          <w:sz w:val="22"/>
          <w:szCs w:val="22"/>
        </w:rPr>
        <w:t>____</w:t>
      </w:r>
      <w:r w:rsidR="003E542E">
        <w:rPr>
          <w:rFonts w:ascii="Courier New" w:hAnsi="Courier New" w:cs="Courier New"/>
          <w:sz w:val="22"/>
          <w:szCs w:val="22"/>
        </w:rPr>
        <w:t>.</w:t>
      </w:r>
      <w:r w:rsidRPr="008511F6">
        <w:rPr>
          <w:rFonts w:ascii="Courier New" w:hAnsi="Courier New" w:cs="Courier New"/>
          <w:sz w:val="22"/>
          <w:szCs w:val="22"/>
        </w:rPr>
        <w:t>20</w:t>
      </w:r>
      <w:r w:rsidR="00905916">
        <w:rPr>
          <w:rFonts w:ascii="Courier New" w:hAnsi="Courier New" w:cs="Courier New"/>
          <w:sz w:val="22"/>
          <w:szCs w:val="22"/>
        </w:rPr>
        <w:t xml:space="preserve">24 </w:t>
      </w:r>
      <w:bookmarkStart w:id="0" w:name="_GoBack"/>
      <w:bookmarkEnd w:id="0"/>
      <w:r w:rsidRPr="008511F6">
        <w:rPr>
          <w:rFonts w:ascii="Courier New" w:hAnsi="Courier New" w:cs="Courier New"/>
          <w:sz w:val="22"/>
          <w:szCs w:val="22"/>
        </w:rPr>
        <w:t xml:space="preserve">г. № </w:t>
      </w:r>
      <w:r w:rsidR="006B7B49">
        <w:rPr>
          <w:rFonts w:ascii="Courier New" w:hAnsi="Courier New" w:cs="Courier New"/>
          <w:sz w:val="22"/>
          <w:szCs w:val="22"/>
        </w:rPr>
        <w:t>______/РД</w:t>
      </w:r>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1" w:name="Par342"/>
      <w:bookmarkEnd w:id="1"/>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2" w:name="Par377"/>
      <w:bookmarkEnd w:id="2"/>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3" w:name="Par393"/>
      <w:bookmarkEnd w:id="3"/>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4" w:name="Par396"/>
      <w:bookmarkEnd w:id="4"/>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lastRenderedPageBreak/>
        <w:t>4. Кассовое обслуживание исполнения местного бюджета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w:t>
      </w:r>
      <w:r w:rsidRPr="001A19F3">
        <w:rPr>
          <w:rFonts w:ascii="Arial" w:hAnsi="Arial" w:cs="Arial"/>
        </w:rPr>
        <w:lastRenderedPageBreak/>
        <w:t>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47BAE">
        <w:rPr>
          <w:rFonts w:ascii="Arial" w:hAnsi="Arial" w:cs="Arial"/>
        </w:rPr>
        <w:t>неденежных</w:t>
      </w:r>
      <w:proofErr w:type="spellEnd"/>
      <w:r w:rsidRPr="00647BAE">
        <w:rPr>
          <w:rFonts w:ascii="Arial" w:hAnsi="Arial" w:cs="Arial"/>
        </w:rPr>
        <w:t xml:space="preserve">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lastRenderedPageBreak/>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w:t>
      </w:r>
      <w:r w:rsidRPr="00177C89">
        <w:rPr>
          <w:rFonts w:ascii="Arial" w:hAnsi="Arial" w:cs="Arial"/>
        </w:rPr>
        <w:lastRenderedPageBreak/>
        <w:t xml:space="preserve">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P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w:t>
      </w:r>
      <w:r w:rsidRPr="001E48DD">
        <w:rPr>
          <w:rFonts w:ascii="Arial" w:hAnsi="Arial" w:cs="Arial"/>
        </w:rPr>
        <w:lastRenderedPageBreak/>
        <w:t xml:space="preserve">(распорядителями)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проект решения об исполнении бюджета </w:t>
      </w:r>
      <w:r w:rsidRPr="008E5BD1">
        <w:rPr>
          <w:rFonts w:ascii="Arial" w:hAnsi="Arial" w:cs="Arial"/>
        </w:rPr>
        <w:t>Голоустненского</w:t>
      </w:r>
      <w:r w:rsidRPr="005D3FD6">
        <w:rPr>
          <w:rFonts w:ascii="Arial" w:hAnsi="Arial" w:cs="Arial"/>
        </w:rPr>
        <w:t xml:space="preserve"> МО и иные документы, предусмотренные бюджетным законодательством Российской Федерации.</w:t>
      </w:r>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w:t>
      </w:r>
      <w:r w:rsidRPr="005D3FD6">
        <w:rPr>
          <w:rFonts w:ascii="Arial" w:hAnsi="Arial" w:cs="Arial"/>
        </w:rPr>
        <w:lastRenderedPageBreak/>
        <w:t xml:space="preserve">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lastRenderedPageBreak/>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xml:space="preserve">- юридические лица (за исключением муниципальных учреждений, муниципальных унитарных предприятий, государственных корпораций (компаний), </w:t>
      </w:r>
      <w:r>
        <w:rPr>
          <w:rStyle w:val="blk"/>
          <w:rFonts w:ascii="Arial" w:hAnsi="Arial" w:cs="Arial"/>
          <w:color w:val="000000"/>
        </w:rPr>
        <w:lastRenderedPageBreak/>
        <w:t>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lastRenderedPageBreak/>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(неутверждение)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54C0"/>
    <w:rsid w:val="00004936"/>
    <w:rsid w:val="00060612"/>
    <w:rsid w:val="000B4E1E"/>
    <w:rsid w:val="000C44EA"/>
    <w:rsid w:val="001645E7"/>
    <w:rsid w:val="00177C89"/>
    <w:rsid w:val="001A19F3"/>
    <w:rsid w:val="001C2797"/>
    <w:rsid w:val="001D568E"/>
    <w:rsid w:val="001E48DD"/>
    <w:rsid w:val="001F3F28"/>
    <w:rsid w:val="002046DB"/>
    <w:rsid w:val="0023558D"/>
    <w:rsid w:val="002765D4"/>
    <w:rsid w:val="00286F63"/>
    <w:rsid w:val="002D1B56"/>
    <w:rsid w:val="002E494A"/>
    <w:rsid w:val="00313B42"/>
    <w:rsid w:val="003314A1"/>
    <w:rsid w:val="003575A9"/>
    <w:rsid w:val="003927B3"/>
    <w:rsid w:val="003E542E"/>
    <w:rsid w:val="004006D8"/>
    <w:rsid w:val="00421ADD"/>
    <w:rsid w:val="00437FE1"/>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95655"/>
    <w:rsid w:val="00697BDB"/>
    <w:rsid w:val="006B7B49"/>
    <w:rsid w:val="006C2973"/>
    <w:rsid w:val="007149A8"/>
    <w:rsid w:val="00733C7C"/>
    <w:rsid w:val="00755560"/>
    <w:rsid w:val="00782329"/>
    <w:rsid w:val="0079545E"/>
    <w:rsid w:val="00810F79"/>
    <w:rsid w:val="00817E40"/>
    <w:rsid w:val="008511F6"/>
    <w:rsid w:val="008654C0"/>
    <w:rsid w:val="00870EB8"/>
    <w:rsid w:val="00871D2C"/>
    <w:rsid w:val="0087700F"/>
    <w:rsid w:val="00896446"/>
    <w:rsid w:val="008A1169"/>
    <w:rsid w:val="008E5BD1"/>
    <w:rsid w:val="00905916"/>
    <w:rsid w:val="00950C7E"/>
    <w:rsid w:val="00955077"/>
    <w:rsid w:val="00974916"/>
    <w:rsid w:val="00992366"/>
    <w:rsid w:val="009D0829"/>
    <w:rsid w:val="00A17A7E"/>
    <w:rsid w:val="00A219AE"/>
    <w:rsid w:val="00A460DF"/>
    <w:rsid w:val="00A826FE"/>
    <w:rsid w:val="00AA0AA2"/>
    <w:rsid w:val="00AE0912"/>
    <w:rsid w:val="00AE1B68"/>
    <w:rsid w:val="00B44F31"/>
    <w:rsid w:val="00B91754"/>
    <w:rsid w:val="00BA2378"/>
    <w:rsid w:val="00BD42A2"/>
    <w:rsid w:val="00C06782"/>
    <w:rsid w:val="00C16311"/>
    <w:rsid w:val="00C42ADD"/>
    <w:rsid w:val="00C70884"/>
    <w:rsid w:val="00CE19C7"/>
    <w:rsid w:val="00CE4FE5"/>
    <w:rsid w:val="00D3176D"/>
    <w:rsid w:val="00D531DA"/>
    <w:rsid w:val="00D67C8A"/>
    <w:rsid w:val="00D93195"/>
    <w:rsid w:val="00D94E7C"/>
    <w:rsid w:val="00DA38F6"/>
    <w:rsid w:val="00DA7E09"/>
    <w:rsid w:val="00DB6CDE"/>
    <w:rsid w:val="00DC09BB"/>
    <w:rsid w:val="00DE2777"/>
    <w:rsid w:val="00DE5423"/>
    <w:rsid w:val="00DF3944"/>
    <w:rsid w:val="00DF438C"/>
    <w:rsid w:val="00E01AF7"/>
    <w:rsid w:val="00E77F46"/>
    <w:rsid w:val="00EF18BA"/>
    <w:rsid w:val="00F05E8E"/>
    <w:rsid w:val="00F245BD"/>
    <w:rsid w:val="00F64333"/>
    <w:rsid w:val="00F84A2F"/>
    <w:rsid w:val="00FE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F6F4A0CFE1FB66435941674F17EF96D4CEFB5FE8E3A395FD6434E357D3CBE934738A4DCA5B01F12DA2FNDD7K" TargetMode="External"/><Relationship Id="rId3" Type="http://schemas.microsoft.com/office/2007/relationships/stylesWithEffects" Target="stylesWithEffects.xml"/><Relationship Id="rId7" Type="http://schemas.openxmlformats.org/officeDocument/2006/relationships/hyperlink" Target="consultantplus://offline/ref=9F9F6F4A0CFE1FB66435941674F17EF96D4CEFB5FE8E3A395FD6434E357D3CBE934738A4DCA5B01F12DF2FNDDB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DADBFFB247CBE1F9A579BDA235A6D42978C20F908F3C0A61F7344B74ED49057B3EB2BCFCCp7f0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B193-3A5E-4549-9B85-E3D4B6EA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21</Pages>
  <Words>8262</Words>
  <Characters>47096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52</cp:revision>
  <cp:lastPrinted>2021-03-01T07:19:00Z</cp:lastPrinted>
  <dcterms:created xsi:type="dcterms:W3CDTF">2013-11-04T04:11:00Z</dcterms:created>
  <dcterms:modified xsi:type="dcterms:W3CDTF">2024-02-22T06:24:00Z</dcterms:modified>
</cp:coreProperties>
</file>